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DA" w:rsidRDefault="0039121E" w:rsidP="00A33004">
      <w:pPr>
        <w:autoSpaceDE w:val="0"/>
        <w:autoSpaceDN w:val="0"/>
        <w:adjustRightInd w:val="0"/>
        <w:spacing w:after="0" w:line="240" w:lineRule="auto"/>
        <w:jc w:val="center"/>
        <w:rPr>
          <w:rFonts w:ascii="Helvetica" w:hAnsi="Helvetica" w:cs="Helvetica"/>
          <w:color w:val="000000"/>
          <w:sz w:val="44"/>
          <w:szCs w:val="44"/>
        </w:rPr>
      </w:pPr>
      <w:r>
        <w:rPr>
          <w:rFonts w:ascii="Helvetica" w:hAnsi="Helvetica" w:cs="Helvetica"/>
          <w:color w:val="000000"/>
          <w:sz w:val="44"/>
          <w:szCs w:val="44"/>
        </w:rPr>
        <w:t>30</w:t>
      </w:r>
      <w:r w:rsidR="003703A4" w:rsidRPr="003703A4">
        <w:rPr>
          <w:rFonts w:ascii="Helvetica" w:hAnsi="Helvetica" w:cs="Helvetica"/>
          <w:color w:val="000000"/>
          <w:sz w:val="44"/>
          <w:szCs w:val="44"/>
          <w:vertAlign w:val="superscript"/>
        </w:rPr>
        <w:t>e</w:t>
      </w:r>
      <w:r w:rsidR="001E67DA">
        <w:rPr>
          <w:rFonts w:ascii="Helvetica" w:hAnsi="Helvetica" w:cs="Helvetica"/>
          <w:color w:val="000000"/>
          <w:sz w:val="29"/>
          <w:szCs w:val="29"/>
        </w:rPr>
        <w:t xml:space="preserve"> </w:t>
      </w:r>
      <w:r>
        <w:rPr>
          <w:rFonts w:ascii="Helvetica" w:hAnsi="Helvetica" w:cs="Helvetica"/>
          <w:color w:val="000000"/>
          <w:sz w:val="44"/>
          <w:szCs w:val="44"/>
        </w:rPr>
        <w:t>TOURNOI DU LÄUCH 2022</w:t>
      </w:r>
    </w:p>
    <w:p w:rsidR="001E67DA" w:rsidRDefault="001E67DA" w:rsidP="00A33004">
      <w:pPr>
        <w:autoSpaceDE w:val="0"/>
        <w:autoSpaceDN w:val="0"/>
        <w:adjustRightInd w:val="0"/>
        <w:spacing w:after="0" w:line="240" w:lineRule="auto"/>
        <w:jc w:val="center"/>
        <w:rPr>
          <w:rFonts w:ascii="Helvetica" w:hAnsi="Helvetica" w:cs="Helvetica"/>
          <w:color w:val="000000"/>
          <w:sz w:val="44"/>
          <w:szCs w:val="44"/>
        </w:rPr>
      </w:pPr>
      <w:r>
        <w:rPr>
          <w:rFonts w:ascii="Helvetica" w:hAnsi="Helvetica" w:cs="Helvetica"/>
          <w:color w:val="000000"/>
          <w:sz w:val="44"/>
          <w:szCs w:val="44"/>
        </w:rPr>
        <w:t xml:space="preserve">A.S.L. ROBERTSAU </w:t>
      </w:r>
      <w:r w:rsidR="00A33004">
        <w:rPr>
          <w:rFonts w:ascii="Helvetica" w:hAnsi="Helvetica" w:cs="Helvetica"/>
          <w:color w:val="000000"/>
          <w:sz w:val="44"/>
          <w:szCs w:val="44"/>
        </w:rPr>
        <w:t>–</w:t>
      </w:r>
      <w:r>
        <w:rPr>
          <w:rFonts w:ascii="Helvetica" w:hAnsi="Helvetica" w:cs="Helvetica"/>
          <w:color w:val="000000"/>
          <w:sz w:val="44"/>
          <w:szCs w:val="44"/>
        </w:rPr>
        <w:t xml:space="preserve"> STRASBOURG</w:t>
      </w:r>
    </w:p>
    <w:p w:rsidR="00A33004" w:rsidRDefault="00A33004" w:rsidP="00A33004">
      <w:pPr>
        <w:autoSpaceDE w:val="0"/>
        <w:autoSpaceDN w:val="0"/>
        <w:adjustRightInd w:val="0"/>
        <w:spacing w:after="0" w:line="240" w:lineRule="auto"/>
        <w:jc w:val="center"/>
        <w:rPr>
          <w:rFonts w:ascii="Helvetica" w:hAnsi="Helvetica" w:cs="Helvetica"/>
          <w:color w:val="000000"/>
          <w:sz w:val="44"/>
          <w:szCs w:val="44"/>
        </w:rPr>
      </w:pPr>
    </w:p>
    <w:p w:rsidR="001E67DA" w:rsidRDefault="001E67DA" w:rsidP="00A33004">
      <w:pPr>
        <w:autoSpaceDE w:val="0"/>
        <w:autoSpaceDN w:val="0"/>
        <w:adjustRightInd w:val="0"/>
        <w:spacing w:after="0" w:line="240" w:lineRule="auto"/>
        <w:jc w:val="center"/>
        <w:rPr>
          <w:rFonts w:ascii="Helvetica-Bold" w:hAnsi="Helvetica-Bold" w:cs="Helvetica-Bold"/>
          <w:b/>
          <w:bCs/>
          <w:color w:val="FF0000"/>
          <w:sz w:val="32"/>
          <w:szCs w:val="32"/>
        </w:rPr>
      </w:pPr>
      <w:r>
        <w:rPr>
          <w:rFonts w:ascii="Helvetica-Bold" w:hAnsi="Helvetica-Bold" w:cs="Helvetica-Bold"/>
          <w:b/>
          <w:bCs/>
          <w:color w:val="FF0000"/>
          <w:sz w:val="32"/>
          <w:szCs w:val="32"/>
        </w:rPr>
        <w:t>Règlement Particulier</w:t>
      </w:r>
    </w:p>
    <w:p w:rsidR="00A33004" w:rsidRDefault="00A33004" w:rsidP="00A33004">
      <w:pPr>
        <w:autoSpaceDE w:val="0"/>
        <w:autoSpaceDN w:val="0"/>
        <w:adjustRightInd w:val="0"/>
        <w:spacing w:after="0" w:line="240" w:lineRule="auto"/>
        <w:jc w:val="center"/>
        <w:rPr>
          <w:rFonts w:ascii="Helvetica-Bold" w:hAnsi="Helvetica-Bold" w:cs="Helvetica-Bold"/>
          <w:b/>
          <w:bCs/>
          <w:color w:val="FF0000"/>
          <w:sz w:val="32"/>
          <w:szCs w:val="32"/>
        </w:rPr>
      </w:pP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color w:val="000000"/>
          <w:sz w:val="20"/>
          <w:szCs w:val="20"/>
        </w:rPr>
      </w:pPr>
      <w:r w:rsidRPr="00A33004">
        <w:rPr>
          <w:rFonts w:ascii="Helvetica" w:hAnsi="Helvetica" w:cs="Helvetica"/>
          <w:color w:val="000000"/>
          <w:sz w:val="20"/>
          <w:szCs w:val="20"/>
        </w:rPr>
        <w:t>Le tournoi se déroule selon le Règlement Général des Compétitions</w:t>
      </w:r>
      <w:r w:rsidR="008E15B4">
        <w:rPr>
          <w:rFonts w:ascii="Helvetica" w:hAnsi="Helvetica" w:cs="Helvetica"/>
          <w:color w:val="000000"/>
          <w:sz w:val="20"/>
          <w:szCs w:val="20"/>
        </w:rPr>
        <w:t xml:space="preserve"> </w:t>
      </w:r>
      <w:r w:rsidRPr="00A33004">
        <w:rPr>
          <w:rFonts w:ascii="Helvetica" w:hAnsi="Helvetica" w:cs="Helvetica"/>
          <w:color w:val="000000"/>
          <w:sz w:val="20"/>
          <w:szCs w:val="20"/>
        </w:rPr>
        <w:t xml:space="preserve">RGC) de la </w:t>
      </w:r>
      <w:proofErr w:type="spellStart"/>
      <w:r w:rsidRPr="00A33004">
        <w:rPr>
          <w:rFonts w:ascii="Helvetica" w:hAnsi="Helvetica" w:cs="Helvetica"/>
          <w:color w:val="000000"/>
          <w:sz w:val="20"/>
          <w:szCs w:val="20"/>
        </w:rPr>
        <w:t>FFBaD</w:t>
      </w:r>
      <w:proofErr w:type="spellEnd"/>
      <w:r w:rsidRPr="00A33004">
        <w:rPr>
          <w:rFonts w:ascii="Helvetica" w:hAnsi="Helvetica" w:cs="Helvetica"/>
          <w:color w:val="000000"/>
          <w:sz w:val="20"/>
          <w:szCs w:val="20"/>
        </w:rPr>
        <w:t>. Ces éléments de règlement particulier complètent les dispositions du RGC. Certains points pourront éventuellement être complétés au vu des inscriptions et des équipements attribués.</w:t>
      </w:r>
    </w:p>
    <w:p w:rsidR="001E67DA" w:rsidRPr="0005094C"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05094C">
        <w:rPr>
          <w:rFonts w:ascii="Helvetica" w:hAnsi="Helvetica" w:cs="Helvetica"/>
          <w:sz w:val="20"/>
          <w:szCs w:val="20"/>
        </w:rPr>
        <w:t xml:space="preserve">Tout participant doit être en règle avec la </w:t>
      </w:r>
      <w:proofErr w:type="spellStart"/>
      <w:r w:rsidRPr="0005094C">
        <w:rPr>
          <w:rFonts w:ascii="Helvetica" w:hAnsi="Helvetica" w:cs="Helvetica"/>
          <w:sz w:val="20"/>
          <w:szCs w:val="20"/>
        </w:rPr>
        <w:t>FFBaD</w:t>
      </w:r>
      <w:proofErr w:type="spellEnd"/>
      <w:r w:rsidRPr="0005094C">
        <w:rPr>
          <w:rFonts w:ascii="Helvetica" w:hAnsi="Helvetica" w:cs="Helvetica"/>
          <w:sz w:val="20"/>
          <w:szCs w:val="20"/>
        </w:rPr>
        <w:t>, ou avec sa fédération nationale affiliée BWF, et être en possession de sa licence le jour du</w:t>
      </w:r>
      <w:r w:rsidR="0005094C">
        <w:rPr>
          <w:rFonts w:ascii="Helvetica" w:hAnsi="Helvetica" w:cs="Helvetica"/>
          <w:sz w:val="20"/>
          <w:szCs w:val="20"/>
        </w:rPr>
        <w:t xml:space="preserve"> tournoi. Le tournoi est ouvert </w:t>
      </w:r>
      <w:r w:rsidRPr="0005094C">
        <w:rPr>
          <w:rFonts w:ascii="Helvetica" w:hAnsi="Helvetica" w:cs="Helvetica"/>
          <w:sz w:val="20"/>
          <w:szCs w:val="20"/>
        </w:rPr>
        <w:t>: aux seniors et aux catégories leur permettant de jouer en sénior</w:t>
      </w:r>
      <w:r w:rsidR="00AF0DBF">
        <w:rPr>
          <w:rFonts w:ascii="Helvetica" w:hAnsi="Helvetica" w:cs="Helvetica"/>
          <w:sz w:val="20"/>
          <w:szCs w:val="20"/>
        </w:rPr>
        <w:t>.</w:t>
      </w:r>
    </w:p>
    <w:p w:rsidR="001E67DA" w:rsidRPr="0005094C"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05094C">
        <w:rPr>
          <w:rFonts w:ascii="Helvetica" w:hAnsi="Helvetica" w:cs="Helvetica"/>
          <w:sz w:val="20"/>
          <w:szCs w:val="20"/>
        </w:rPr>
        <w:t>Le tournoi est ouvert aux joueurs classés N</w:t>
      </w:r>
      <w:r w:rsidR="0039121E">
        <w:rPr>
          <w:rFonts w:ascii="Helvetica" w:hAnsi="Helvetica" w:cs="Helvetica"/>
          <w:sz w:val="20"/>
          <w:szCs w:val="20"/>
        </w:rPr>
        <w:t>2</w:t>
      </w:r>
      <w:r w:rsidRPr="0005094C">
        <w:rPr>
          <w:rFonts w:ascii="Helvetica" w:hAnsi="Helvetica" w:cs="Helvetica"/>
          <w:sz w:val="20"/>
          <w:szCs w:val="20"/>
        </w:rPr>
        <w:t xml:space="preserve"> et inférieur.</w:t>
      </w:r>
      <w:r w:rsidR="00541AB0" w:rsidRPr="0005094C">
        <w:rPr>
          <w:rFonts w:ascii="Helvetica" w:hAnsi="Helvetica" w:cs="Helvetica"/>
          <w:sz w:val="20"/>
          <w:szCs w:val="20"/>
        </w:rPr>
        <w:t xml:space="preserve"> </w:t>
      </w:r>
      <w:r w:rsidRPr="0005094C">
        <w:rPr>
          <w:rFonts w:ascii="Helvetica" w:hAnsi="Helvetica" w:cs="Helvetica"/>
          <w:sz w:val="20"/>
          <w:szCs w:val="20"/>
        </w:rPr>
        <w:t xml:space="preserve">Les tableaux sénior seront réalisés sur la base de 7 séries définies par un classement maximum. Pour les doubles et mixtes, chaque joueur devra avoir son classement de la catégorie inférieur ou égal au classement maximum. </w:t>
      </w:r>
      <w:r w:rsidR="00C41009">
        <w:rPr>
          <w:rFonts w:ascii="Helvetica" w:hAnsi="Helvetica" w:cs="Helvetica"/>
          <w:sz w:val="20"/>
          <w:szCs w:val="20"/>
        </w:rPr>
        <w:t>Le classement pris en compte est le classement officiel à la date du tirage au</w:t>
      </w:r>
      <w:r w:rsidR="0039121E">
        <w:rPr>
          <w:rFonts w:ascii="Helvetica" w:hAnsi="Helvetica" w:cs="Helvetica"/>
          <w:sz w:val="20"/>
          <w:szCs w:val="20"/>
        </w:rPr>
        <w:t xml:space="preserve"> sort, le 15 janvier 2022</w:t>
      </w:r>
      <w:r w:rsidR="00C41009">
        <w:rPr>
          <w:rFonts w:ascii="Helvetica" w:hAnsi="Helvetica" w:cs="Helvetica"/>
          <w:sz w:val="20"/>
          <w:szCs w:val="20"/>
        </w:rPr>
        <w:t xml:space="preserve">. </w:t>
      </w:r>
      <w:r w:rsidRPr="0005094C">
        <w:rPr>
          <w:rFonts w:ascii="Helvetica" w:hAnsi="Helvetica" w:cs="Helvetica"/>
          <w:sz w:val="20"/>
          <w:szCs w:val="20"/>
        </w:rPr>
        <w:t>L’organisateur se réserve le droit de modifier la catégorie d’inscription d’un joueur ou d’une paire si cette inscription n’était pas en accord avec le RGC</w:t>
      </w:r>
      <w:r w:rsidR="00C26D14" w:rsidRPr="0005094C">
        <w:rPr>
          <w:rFonts w:ascii="Helvetica" w:hAnsi="Helvetica" w:cs="Helvetica"/>
          <w:sz w:val="20"/>
          <w:szCs w:val="20"/>
        </w:rPr>
        <w:t> :</w:t>
      </w:r>
      <w:r w:rsidR="00C26D14" w:rsidRPr="0005094C">
        <w:t xml:space="preserve"> </w:t>
      </w:r>
      <w:r w:rsidR="00C26D14" w:rsidRPr="0005094C">
        <w:rPr>
          <w:i/>
        </w:rPr>
        <w:t>« </w:t>
      </w:r>
      <w:r w:rsidR="00C26D14" w:rsidRPr="0005094C">
        <w:rPr>
          <w:rFonts w:ascii="Helvetica" w:hAnsi="Helvetica" w:cs="Helvetica"/>
          <w:i/>
          <w:sz w:val="20"/>
          <w:szCs w:val="20"/>
        </w:rPr>
        <w:t>Dans un même tableau, le CPPH du mieux classé des participants ne peut pas être plus de 16 fois supérieur à celui du moins bien classé. »</w:t>
      </w:r>
    </w:p>
    <w:tbl>
      <w:tblPr>
        <w:tblStyle w:val="Grilledutableau"/>
        <w:tblW w:w="0" w:type="auto"/>
        <w:tblInd w:w="357" w:type="dxa"/>
        <w:tblLook w:val="04A0" w:firstRow="1" w:lastRow="0" w:firstColumn="1" w:lastColumn="0" w:noHBand="0" w:noVBand="1"/>
      </w:tblPr>
      <w:tblGrid>
        <w:gridCol w:w="1243"/>
        <w:gridCol w:w="1243"/>
        <w:gridCol w:w="1243"/>
        <w:gridCol w:w="1243"/>
        <w:gridCol w:w="1243"/>
        <w:gridCol w:w="1243"/>
        <w:gridCol w:w="1247"/>
      </w:tblGrid>
      <w:tr w:rsidR="00A33004" w:rsidTr="00A33004">
        <w:trPr>
          <w:trHeight w:val="338"/>
        </w:trPr>
        <w:tc>
          <w:tcPr>
            <w:tcW w:w="8931" w:type="dxa"/>
            <w:gridSpan w:val="7"/>
            <w:shd w:val="clear" w:color="auto" w:fill="66FF99"/>
            <w:vAlign w:val="center"/>
          </w:tcPr>
          <w:p w:rsidR="00A33004" w:rsidRDefault="0039121E" w:rsidP="00A33004">
            <w:pPr>
              <w:autoSpaceDE w:val="0"/>
              <w:autoSpaceDN w:val="0"/>
              <w:adjustRightInd w:val="0"/>
              <w:jc w:val="center"/>
              <w:rPr>
                <w:rFonts w:ascii="Helvetica" w:hAnsi="Helvetica" w:cs="Helvetica"/>
                <w:color w:val="000000"/>
                <w:sz w:val="20"/>
                <w:szCs w:val="20"/>
              </w:rPr>
            </w:pPr>
            <w:proofErr w:type="spellStart"/>
            <w:r>
              <w:rPr>
                <w:rFonts w:ascii="Helvetica" w:hAnsi="Helvetica" w:cs="Helvetica"/>
                <w:color w:val="000000"/>
                <w:sz w:val="20"/>
                <w:szCs w:val="20"/>
              </w:rPr>
              <w:t>Läuch</w:t>
            </w:r>
            <w:proofErr w:type="spellEnd"/>
            <w:r>
              <w:rPr>
                <w:rFonts w:ascii="Helvetica" w:hAnsi="Helvetica" w:cs="Helvetica"/>
                <w:color w:val="000000"/>
                <w:sz w:val="20"/>
                <w:szCs w:val="20"/>
              </w:rPr>
              <w:t xml:space="preserve"> 2022</w:t>
            </w:r>
            <w:r w:rsidR="00A33004">
              <w:rPr>
                <w:rFonts w:ascii="Helvetica" w:hAnsi="Helvetica" w:cs="Helvetica"/>
                <w:color w:val="000000"/>
                <w:sz w:val="20"/>
                <w:szCs w:val="20"/>
              </w:rPr>
              <w:t xml:space="preserve"> – Classements maximum par séries</w:t>
            </w:r>
          </w:p>
        </w:tc>
      </w:tr>
      <w:tr w:rsidR="00A33004" w:rsidTr="00A33004">
        <w:trPr>
          <w:trHeight w:val="338"/>
        </w:trPr>
        <w:tc>
          <w:tcPr>
            <w:tcW w:w="1275" w:type="dxa"/>
            <w:shd w:val="clear" w:color="auto" w:fill="66FF99"/>
            <w:vAlign w:val="center"/>
          </w:tcPr>
          <w:p w:rsidR="00A33004" w:rsidRDefault="00A33004"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1</w:t>
            </w:r>
          </w:p>
        </w:tc>
        <w:tc>
          <w:tcPr>
            <w:tcW w:w="1276" w:type="dxa"/>
            <w:shd w:val="clear" w:color="auto" w:fill="66FF99"/>
            <w:vAlign w:val="center"/>
          </w:tcPr>
          <w:p w:rsidR="00A33004" w:rsidRDefault="00A33004"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2</w:t>
            </w:r>
          </w:p>
        </w:tc>
        <w:tc>
          <w:tcPr>
            <w:tcW w:w="1276" w:type="dxa"/>
            <w:shd w:val="clear" w:color="auto" w:fill="66FF99"/>
            <w:vAlign w:val="center"/>
          </w:tcPr>
          <w:p w:rsidR="00A33004" w:rsidRDefault="00A33004"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3</w:t>
            </w:r>
          </w:p>
        </w:tc>
        <w:tc>
          <w:tcPr>
            <w:tcW w:w="1276" w:type="dxa"/>
            <w:shd w:val="clear" w:color="auto" w:fill="66FF99"/>
            <w:vAlign w:val="center"/>
          </w:tcPr>
          <w:p w:rsidR="00A33004" w:rsidRDefault="00A33004"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4</w:t>
            </w:r>
          </w:p>
        </w:tc>
        <w:tc>
          <w:tcPr>
            <w:tcW w:w="1276" w:type="dxa"/>
            <w:shd w:val="clear" w:color="auto" w:fill="66FF99"/>
            <w:vAlign w:val="center"/>
          </w:tcPr>
          <w:p w:rsidR="00A33004" w:rsidRDefault="00A33004"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5</w:t>
            </w:r>
          </w:p>
        </w:tc>
        <w:tc>
          <w:tcPr>
            <w:tcW w:w="1276" w:type="dxa"/>
            <w:shd w:val="clear" w:color="auto" w:fill="66FF99"/>
            <w:vAlign w:val="center"/>
          </w:tcPr>
          <w:p w:rsidR="00A33004" w:rsidRDefault="00A33004"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6</w:t>
            </w:r>
          </w:p>
        </w:tc>
        <w:tc>
          <w:tcPr>
            <w:tcW w:w="1276" w:type="dxa"/>
            <w:shd w:val="clear" w:color="auto" w:fill="66FF99"/>
            <w:vAlign w:val="center"/>
          </w:tcPr>
          <w:p w:rsidR="00A33004" w:rsidRDefault="00A33004"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7</w:t>
            </w:r>
          </w:p>
        </w:tc>
      </w:tr>
      <w:tr w:rsidR="00A33004" w:rsidTr="00A33004">
        <w:trPr>
          <w:trHeight w:val="338"/>
        </w:trPr>
        <w:tc>
          <w:tcPr>
            <w:tcW w:w="1275" w:type="dxa"/>
            <w:shd w:val="clear" w:color="auto" w:fill="66FF99"/>
            <w:vAlign w:val="center"/>
          </w:tcPr>
          <w:p w:rsidR="00A33004" w:rsidRDefault="0039121E"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N2</w:t>
            </w:r>
          </w:p>
        </w:tc>
        <w:tc>
          <w:tcPr>
            <w:tcW w:w="1276" w:type="dxa"/>
            <w:shd w:val="clear" w:color="auto" w:fill="66FF99"/>
            <w:vAlign w:val="center"/>
          </w:tcPr>
          <w:p w:rsidR="00A33004" w:rsidRDefault="00A33004"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N3</w:t>
            </w:r>
          </w:p>
        </w:tc>
        <w:tc>
          <w:tcPr>
            <w:tcW w:w="1276" w:type="dxa"/>
            <w:shd w:val="clear" w:color="auto" w:fill="66FF99"/>
            <w:vAlign w:val="center"/>
          </w:tcPr>
          <w:p w:rsidR="00A33004" w:rsidRDefault="001B3EC7"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R5</w:t>
            </w:r>
          </w:p>
        </w:tc>
        <w:tc>
          <w:tcPr>
            <w:tcW w:w="1276" w:type="dxa"/>
            <w:shd w:val="clear" w:color="auto" w:fill="66FF99"/>
            <w:vAlign w:val="center"/>
          </w:tcPr>
          <w:p w:rsidR="00A33004" w:rsidRDefault="001B3EC7"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R6</w:t>
            </w:r>
          </w:p>
        </w:tc>
        <w:tc>
          <w:tcPr>
            <w:tcW w:w="1276" w:type="dxa"/>
            <w:shd w:val="clear" w:color="auto" w:fill="66FF99"/>
            <w:vAlign w:val="center"/>
          </w:tcPr>
          <w:p w:rsidR="00A33004" w:rsidRDefault="001B3EC7"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D7</w:t>
            </w:r>
          </w:p>
        </w:tc>
        <w:tc>
          <w:tcPr>
            <w:tcW w:w="1276" w:type="dxa"/>
            <w:shd w:val="clear" w:color="auto" w:fill="66FF99"/>
            <w:vAlign w:val="center"/>
          </w:tcPr>
          <w:p w:rsidR="00A33004" w:rsidRDefault="001B3EC7" w:rsidP="00A33004">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D8</w:t>
            </w:r>
          </w:p>
        </w:tc>
        <w:tc>
          <w:tcPr>
            <w:tcW w:w="1276" w:type="dxa"/>
            <w:shd w:val="clear" w:color="auto" w:fill="66FF99"/>
            <w:vAlign w:val="center"/>
          </w:tcPr>
          <w:p w:rsidR="00A33004" w:rsidRDefault="00831E02" w:rsidP="00831E02">
            <w:pPr>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P10</w:t>
            </w:r>
          </w:p>
        </w:tc>
      </w:tr>
    </w:tbl>
    <w:p w:rsidR="00A33004" w:rsidRPr="00A33004" w:rsidRDefault="00A33004" w:rsidP="00A33004">
      <w:pPr>
        <w:autoSpaceDE w:val="0"/>
        <w:autoSpaceDN w:val="0"/>
        <w:adjustRightInd w:val="0"/>
        <w:spacing w:after="120" w:line="240" w:lineRule="auto"/>
        <w:ind w:left="357"/>
        <w:jc w:val="both"/>
        <w:rPr>
          <w:rFonts w:ascii="Helvetica" w:hAnsi="Helvetica" w:cs="Helvetica"/>
          <w:color w:val="000000"/>
          <w:sz w:val="20"/>
          <w:szCs w:val="20"/>
        </w:rPr>
      </w:pPr>
    </w:p>
    <w:p w:rsidR="001E67DA"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color w:val="000000"/>
          <w:sz w:val="20"/>
          <w:szCs w:val="20"/>
        </w:rPr>
      </w:pPr>
      <w:r w:rsidRPr="00A33004">
        <w:rPr>
          <w:rFonts w:ascii="Helvetica" w:hAnsi="Helvetica" w:cs="Helvetica"/>
          <w:color w:val="000000"/>
          <w:sz w:val="20"/>
          <w:szCs w:val="20"/>
        </w:rPr>
        <w:t>Les tableaux proposés sont le simple, le double et le mixte. Chaque joueur peut s’inscrire dans deux tableaux, le panachage des groupes entre simp</w:t>
      </w:r>
      <w:r w:rsidR="001D4922">
        <w:rPr>
          <w:rFonts w:ascii="Helvetica" w:hAnsi="Helvetica" w:cs="Helvetica"/>
          <w:color w:val="000000"/>
          <w:sz w:val="20"/>
          <w:szCs w:val="20"/>
        </w:rPr>
        <w:t>le, double et mixte est permis.</w:t>
      </w:r>
    </w:p>
    <w:p w:rsidR="001D4922" w:rsidRPr="00831E02" w:rsidRDefault="001D4922" w:rsidP="00831E02">
      <w:pPr>
        <w:pStyle w:val="Paragraphedeliste"/>
        <w:numPr>
          <w:ilvl w:val="0"/>
          <w:numId w:val="2"/>
        </w:numPr>
        <w:autoSpaceDE w:val="0"/>
        <w:autoSpaceDN w:val="0"/>
        <w:adjustRightInd w:val="0"/>
        <w:spacing w:after="120" w:line="240" w:lineRule="auto"/>
        <w:contextualSpacing w:val="0"/>
        <w:jc w:val="both"/>
        <w:rPr>
          <w:rFonts w:ascii="Helvetica" w:hAnsi="Helvetica" w:cs="Helvetica"/>
          <w:color w:val="000000"/>
          <w:sz w:val="20"/>
          <w:szCs w:val="20"/>
        </w:rPr>
      </w:pPr>
      <w:r>
        <w:rPr>
          <w:rFonts w:ascii="Helvetica" w:hAnsi="Helvetica" w:cs="Helvetica"/>
          <w:color w:val="000000"/>
          <w:sz w:val="20"/>
          <w:szCs w:val="20"/>
        </w:rPr>
        <w:t xml:space="preserve">Les inscriptions seront exclusivement enregistrées via le formulaire </w:t>
      </w:r>
      <w:hyperlink r:id="rId7" w:history="1">
        <w:r w:rsidR="00831E02" w:rsidRPr="0039121E">
          <w:rPr>
            <w:rStyle w:val="Lienhypertexte"/>
            <w:rFonts w:ascii="Helvetica" w:hAnsi="Helvetica" w:cs="Helvetica"/>
            <w:sz w:val="20"/>
            <w:szCs w:val="20"/>
            <w:highlight w:val="yellow"/>
          </w:rPr>
          <w:t>https://docs.google.com/forms/d/e/1FAIpQLScRnPZGwbXwnnfe1BHn3z91PDgUC-PF-8CIpje7vARXyRCzug/viewform?vc=0&amp;c=0&amp;w=1</w:t>
        </w:r>
      </w:hyperlink>
      <w:r w:rsidR="00947AA2" w:rsidRPr="00831E02">
        <w:rPr>
          <w:rStyle w:val="Lienhypertexte"/>
          <w:rFonts w:ascii="Helvetica" w:hAnsi="Helvetica" w:cs="Helvetica"/>
          <w:sz w:val="20"/>
          <w:szCs w:val="20"/>
        </w:rPr>
        <w:br/>
      </w:r>
      <w:r w:rsidRPr="00831E02">
        <w:rPr>
          <w:rFonts w:ascii="Helvetica" w:hAnsi="Helvetica" w:cs="Helvetica"/>
          <w:color w:val="000000"/>
          <w:sz w:val="20"/>
          <w:szCs w:val="20"/>
        </w:rPr>
        <w:t xml:space="preserve">Tout autre mode d’inscription, papier, mail, téléphone, … sera </w:t>
      </w:r>
      <w:r w:rsidRPr="00831E02">
        <w:rPr>
          <w:rFonts w:ascii="Helvetica" w:hAnsi="Helvetica" w:cs="Helvetica"/>
          <w:b/>
          <w:color w:val="000000"/>
          <w:sz w:val="20"/>
          <w:szCs w:val="20"/>
        </w:rPr>
        <w:t>refusé</w:t>
      </w:r>
      <w:r w:rsidRPr="00831E02">
        <w:rPr>
          <w:rFonts w:ascii="Helvetica" w:hAnsi="Helvetica" w:cs="Helvetica"/>
          <w:color w:val="000000"/>
          <w:sz w:val="20"/>
          <w:szCs w:val="20"/>
        </w:rPr>
        <w:t xml:space="preserve">. La date limite d’inscription est fixée au </w:t>
      </w:r>
      <w:r w:rsidR="0039121E">
        <w:rPr>
          <w:rFonts w:ascii="Helvetica" w:hAnsi="Helvetica" w:cs="Helvetica"/>
          <w:color w:val="000000"/>
          <w:sz w:val="20"/>
          <w:szCs w:val="20"/>
        </w:rPr>
        <w:t>12 janvier 2022</w:t>
      </w:r>
      <w:r w:rsidRPr="00831E02">
        <w:rPr>
          <w:rFonts w:ascii="Helvetica" w:hAnsi="Helvetica" w:cs="Helvetica"/>
          <w:color w:val="000000"/>
          <w:sz w:val="20"/>
          <w:szCs w:val="20"/>
        </w:rPr>
        <w:t xml:space="preserve"> 23h59.</w:t>
      </w:r>
    </w:p>
    <w:p w:rsidR="001E67DA" w:rsidRPr="006D6045"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color w:val="FFFFFF" w:themeColor="background1"/>
          <w:sz w:val="20"/>
          <w:szCs w:val="20"/>
        </w:rPr>
      </w:pPr>
      <w:r w:rsidRPr="00A33004">
        <w:rPr>
          <w:rFonts w:ascii="Helvetica" w:hAnsi="Helvetica" w:cs="Helvetica"/>
          <w:color w:val="000000"/>
          <w:sz w:val="20"/>
          <w:szCs w:val="20"/>
        </w:rPr>
        <w:t>Le mode de compétition retenu est la poule pour la 1</w:t>
      </w:r>
      <w:r w:rsidR="00AF0DBF" w:rsidRPr="00AF0DBF">
        <w:rPr>
          <w:rFonts w:ascii="Helvetica" w:hAnsi="Helvetica" w:cs="Helvetica"/>
          <w:color w:val="000000"/>
          <w:sz w:val="20"/>
          <w:szCs w:val="20"/>
          <w:vertAlign w:val="superscript"/>
        </w:rPr>
        <w:t>ère</w:t>
      </w:r>
      <w:r w:rsidRPr="00A33004">
        <w:rPr>
          <w:rFonts w:ascii="Helvetica" w:hAnsi="Helvetica" w:cs="Helvetica"/>
          <w:color w:val="000000"/>
          <w:sz w:val="13"/>
          <w:szCs w:val="13"/>
        </w:rPr>
        <w:t xml:space="preserve"> </w:t>
      </w:r>
      <w:r w:rsidRPr="00A33004">
        <w:rPr>
          <w:rFonts w:ascii="Helvetica" w:hAnsi="Helvetica" w:cs="Helvetica"/>
          <w:color w:val="000000"/>
          <w:sz w:val="20"/>
          <w:szCs w:val="20"/>
        </w:rPr>
        <w:t>phase et l’élimination directe pour la phase finale.</w:t>
      </w:r>
    </w:p>
    <w:p w:rsidR="00E91F0C"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color w:val="000000"/>
          <w:sz w:val="20"/>
          <w:szCs w:val="20"/>
        </w:rPr>
      </w:pPr>
      <w:r w:rsidRPr="00A33004">
        <w:rPr>
          <w:rFonts w:ascii="Helvetica" w:hAnsi="Helvetica" w:cs="Helvetica"/>
          <w:color w:val="000000"/>
          <w:sz w:val="20"/>
          <w:szCs w:val="20"/>
        </w:rPr>
        <w:t xml:space="preserve">Le tournoi est limité à </w:t>
      </w:r>
      <w:r w:rsidR="0039121E">
        <w:rPr>
          <w:rFonts w:ascii="Helvetica" w:hAnsi="Helvetica" w:cs="Helvetica"/>
          <w:color w:val="000000"/>
          <w:sz w:val="20"/>
          <w:szCs w:val="20"/>
        </w:rPr>
        <w:t>4</w:t>
      </w:r>
      <w:r w:rsidRPr="00A33004">
        <w:rPr>
          <w:rFonts w:ascii="Helvetica" w:hAnsi="Helvetica" w:cs="Helvetica"/>
          <w:color w:val="000000"/>
          <w:sz w:val="20"/>
          <w:szCs w:val="20"/>
        </w:rPr>
        <w:t>00 joueurs, avec un maximum de 32 inscriptions par catégorie. Les inscriptions sont prises dans l’ordre des réceptions complètes, avec le paiement. En cas de groupe insuffisamment fourni, l’organisateur (avec l’accord du Juge Arbitre) se réserve le droit de fusionner ou d’annuler certains tableaux.</w:t>
      </w: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Les matches se jouent en 2 sets gagnants de 21 points.</w:t>
      </w: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 xml:space="preserve">La compétition sera gérée par </w:t>
      </w:r>
      <w:proofErr w:type="spellStart"/>
      <w:r w:rsidR="0039121E">
        <w:rPr>
          <w:rFonts w:ascii="Helvetica" w:hAnsi="Helvetica" w:cs="Helvetica"/>
          <w:sz w:val="20"/>
          <w:szCs w:val="20"/>
        </w:rPr>
        <w:t>Tournament</w:t>
      </w:r>
      <w:proofErr w:type="spellEnd"/>
      <w:r w:rsidR="0039121E">
        <w:rPr>
          <w:rFonts w:ascii="Helvetica" w:hAnsi="Helvetica" w:cs="Helvetica"/>
          <w:sz w:val="20"/>
          <w:szCs w:val="20"/>
        </w:rPr>
        <w:t xml:space="preserve"> Software</w:t>
      </w:r>
      <w:r w:rsidRPr="00A33004">
        <w:rPr>
          <w:rFonts w:ascii="Helvetica" w:hAnsi="Helvetica" w:cs="Helvetica"/>
          <w:sz w:val="20"/>
          <w:szCs w:val="20"/>
        </w:rPr>
        <w:t>.</w:t>
      </w:r>
    </w:p>
    <w:p w:rsidR="001E67DA" w:rsidRPr="0005094C" w:rsidRDefault="001E67DA" w:rsidP="0005094C">
      <w:pPr>
        <w:pStyle w:val="Paragraphedeliste"/>
        <w:numPr>
          <w:ilvl w:val="0"/>
          <w:numId w:val="2"/>
        </w:numPr>
        <w:autoSpaceDE w:val="0"/>
        <w:autoSpaceDN w:val="0"/>
        <w:adjustRightInd w:val="0"/>
        <w:spacing w:after="120" w:line="240" w:lineRule="auto"/>
        <w:contextualSpacing w:val="0"/>
        <w:jc w:val="both"/>
        <w:rPr>
          <w:rFonts w:ascii="Helvetica" w:hAnsi="Helvetica" w:cs="Helvetica"/>
          <w:sz w:val="20"/>
          <w:szCs w:val="20"/>
        </w:rPr>
      </w:pPr>
      <w:r w:rsidRPr="0005094C">
        <w:rPr>
          <w:rFonts w:ascii="Helvetica" w:hAnsi="Helvetica" w:cs="Helvetica"/>
          <w:sz w:val="20"/>
          <w:szCs w:val="20"/>
        </w:rPr>
        <w:t xml:space="preserve">Chaque participant inscrit doit connaître les sanctions encourues en cas de forfait après la date du tirage au sort fixée au </w:t>
      </w:r>
      <w:r w:rsidR="0039121E">
        <w:rPr>
          <w:rFonts w:ascii="Helvetica" w:hAnsi="Helvetica" w:cs="Helvetica"/>
          <w:sz w:val="20"/>
          <w:szCs w:val="20"/>
        </w:rPr>
        <w:t>15</w:t>
      </w:r>
      <w:r w:rsidRPr="0005094C">
        <w:rPr>
          <w:rFonts w:ascii="Helvetica" w:hAnsi="Helvetica" w:cs="Helvetica"/>
          <w:sz w:val="20"/>
          <w:szCs w:val="20"/>
        </w:rPr>
        <w:t xml:space="preserve"> janvier </w:t>
      </w:r>
      <w:r w:rsidR="00DD76EC" w:rsidRPr="0005094C">
        <w:rPr>
          <w:rFonts w:ascii="Helvetica" w:hAnsi="Helvetica" w:cs="Helvetica"/>
          <w:sz w:val="20"/>
          <w:szCs w:val="20"/>
        </w:rPr>
        <w:t>20</w:t>
      </w:r>
      <w:r w:rsidR="0039121E">
        <w:rPr>
          <w:rFonts w:ascii="Helvetica" w:hAnsi="Helvetica" w:cs="Helvetica"/>
          <w:sz w:val="20"/>
          <w:szCs w:val="20"/>
        </w:rPr>
        <w:t>22</w:t>
      </w:r>
      <w:r w:rsidRPr="0005094C">
        <w:rPr>
          <w:rFonts w:ascii="Helvetica" w:hAnsi="Helvetica" w:cs="Helvetica"/>
          <w:sz w:val="20"/>
          <w:szCs w:val="20"/>
        </w:rPr>
        <w:t xml:space="preserve">. Il devra prévenir le club organisateur (coordonnées figurant sur la convocation) de sa non-participation et adressera au plus tard dans les 5 jours suivant la compétition, les pièces justificatives à </w:t>
      </w:r>
      <w:r w:rsidR="0005094C" w:rsidRPr="0005094C">
        <w:rPr>
          <w:rFonts w:ascii="Helvetica" w:hAnsi="Helvetica" w:cs="Helvetica"/>
          <w:sz w:val="20"/>
          <w:szCs w:val="20"/>
        </w:rPr>
        <w:t>la Ligue Grand Est de Badminton</w:t>
      </w:r>
      <w:r w:rsidRPr="0005094C">
        <w:rPr>
          <w:rFonts w:ascii="Helvetica" w:hAnsi="Helvetica" w:cs="Helvetica"/>
          <w:sz w:val="20"/>
          <w:szCs w:val="20"/>
        </w:rPr>
        <w:t xml:space="preserve"> </w:t>
      </w:r>
      <w:r w:rsidR="0084386E" w:rsidRPr="0005094C">
        <w:rPr>
          <w:rFonts w:ascii="Helvetica" w:hAnsi="Helvetica" w:cs="Helvetica"/>
          <w:sz w:val="20"/>
          <w:szCs w:val="20"/>
        </w:rPr>
        <w:t xml:space="preserve">par tout moyen (adresse postale : </w:t>
      </w:r>
      <w:r w:rsidR="0005094C" w:rsidRPr="0005094C">
        <w:rPr>
          <w:rFonts w:ascii="Helvetica" w:hAnsi="Helvetica" w:cs="Helvetica"/>
          <w:sz w:val="20"/>
          <w:szCs w:val="20"/>
        </w:rPr>
        <w:t xml:space="preserve">13 Rue Jean Moulin 54510 Tomblaine </w:t>
      </w:r>
      <w:r w:rsidR="0084386E" w:rsidRPr="0005094C">
        <w:rPr>
          <w:rFonts w:ascii="Helvetica" w:hAnsi="Helvetica" w:cs="Helvetica"/>
          <w:sz w:val="20"/>
          <w:szCs w:val="20"/>
        </w:rPr>
        <w:t xml:space="preserve">ou adresse mail : </w:t>
      </w:r>
      <w:hyperlink r:id="rId8" w:history="1">
        <w:r w:rsidR="0084386E" w:rsidRPr="0005094C">
          <w:rPr>
            <w:rStyle w:val="Lienhypertexte"/>
            <w:rFonts w:ascii="Helvetica" w:hAnsi="Helvetica" w:cs="Helvetica"/>
            <w:sz w:val="20"/>
            <w:szCs w:val="20"/>
          </w:rPr>
          <w:t>valerie.sabigno@badmintongrandest.com</w:t>
        </w:r>
      </w:hyperlink>
      <w:r w:rsidR="0084386E" w:rsidRPr="0005094C">
        <w:rPr>
          <w:rFonts w:ascii="Helvetica" w:hAnsi="Helvetica" w:cs="Helvetica"/>
          <w:sz w:val="20"/>
          <w:szCs w:val="20"/>
        </w:rPr>
        <w:t>) prouvant la date de réception</w:t>
      </w:r>
      <w:r w:rsidR="0062067C" w:rsidRPr="0005094C">
        <w:rPr>
          <w:rFonts w:ascii="Helvetica" w:hAnsi="Helvetica" w:cs="Helvetica"/>
          <w:sz w:val="20"/>
          <w:szCs w:val="20"/>
        </w:rPr>
        <w:t xml:space="preserve">. </w:t>
      </w:r>
    </w:p>
    <w:p w:rsidR="001E67DA"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Une tenue de Badminton, conforme à la circulaire fédérale en vigueur est exigée sur les terrains.</w:t>
      </w:r>
    </w:p>
    <w:p w:rsidR="00AF0DBF" w:rsidRDefault="00AF0DBF" w:rsidP="00AF0DBF">
      <w:pPr>
        <w:autoSpaceDE w:val="0"/>
        <w:autoSpaceDN w:val="0"/>
        <w:adjustRightInd w:val="0"/>
        <w:spacing w:after="120" w:line="240" w:lineRule="auto"/>
        <w:jc w:val="both"/>
        <w:rPr>
          <w:rFonts w:ascii="Helvetica" w:hAnsi="Helvetica" w:cs="Helvetica"/>
          <w:sz w:val="20"/>
          <w:szCs w:val="20"/>
        </w:rPr>
      </w:pPr>
    </w:p>
    <w:p w:rsidR="00AF0DBF" w:rsidRPr="00AF0DBF" w:rsidRDefault="00AF0DBF" w:rsidP="00AF0DBF">
      <w:pPr>
        <w:autoSpaceDE w:val="0"/>
        <w:autoSpaceDN w:val="0"/>
        <w:adjustRightInd w:val="0"/>
        <w:spacing w:after="120" w:line="240" w:lineRule="auto"/>
        <w:jc w:val="both"/>
        <w:rPr>
          <w:rFonts w:ascii="Helvetica" w:hAnsi="Helvetica" w:cs="Helvetica"/>
          <w:sz w:val="20"/>
          <w:szCs w:val="20"/>
        </w:rPr>
      </w:pP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lastRenderedPageBreak/>
        <w:t xml:space="preserve">Les Juges-arbitres de la compétition seront </w:t>
      </w:r>
      <w:r w:rsidRPr="00AF0DBF">
        <w:rPr>
          <w:rFonts w:ascii="Helvetica" w:hAnsi="Helvetica" w:cs="Helvetica"/>
          <w:sz w:val="20"/>
          <w:szCs w:val="20"/>
        </w:rPr>
        <w:t xml:space="preserve">MM. René GRAEF (JA principal), Jean-Louis KEHLHOFFNER et Mme </w:t>
      </w:r>
      <w:r w:rsidR="0039121E">
        <w:rPr>
          <w:rFonts w:ascii="Helvetica" w:hAnsi="Helvetica" w:cs="Helvetica"/>
          <w:sz w:val="20"/>
          <w:szCs w:val="20"/>
        </w:rPr>
        <w:t>Elisa LEROUX</w:t>
      </w:r>
      <w:r w:rsidRPr="00AF0DBF">
        <w:rPr>
          <w:rFonts w:ascii="Helvetica" w:hAnsi="Helvetica" w:cs="Helvetica"/>
          <w:sz w:val="20"/>
          <w:szCs w:val="20"/>
        </w:rPr>
        <w:t>.</w:t>
      </w:r>
      <w:r w:rsidRPr="00A33004">
        <w:rPr>
          <w:rFonts w:ascii="Helvetica" w:hAnsi="Helvetica" w:cs="Helvetica"/>
          <w:sz w:val="20"/>
          <w:szCs w:val="20"/>
        </w:rPr>
        <w:t xml:space="preserve"> Leurs décisions sont sans appel. Ils sont en droit de disqualifier partiellement ou totalement tout joueur qui ne respecte pas un ou plusieurs points des règlements.</w:t>
      </w: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Les horaires diffusés pendant la compétition le sont à titre indicatif. Tout joueur doit être présent dans la salle 45 minutes avant son premier match. Chaque joueur ayant commencé la compétition pourra ensuite être appelé jusqu’à une heure avant l’heure indicative de son prochain match. Tout joueur désirant s’absenter de la compétition devra le signaler à l’un des Juges arbitres et à l’une des tables de marque.</w:t>
      </w:r>
    </w:p>
    <w:p w:rsidR="001E67DA" w:rsidRPr="0005094C"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05094C">
        <w:rPr>
          <w:rFonts w:ascii="Helvetica" w:hAnsi="Helvetica" w:cs="Helvetica"/>
          <w:sz w:val="20"/>
          <w:szCs w:val="20"/>
        </w:rPr>
        <w:t>Les conséquences des erreurs susceptibles d’apparaître dans la composition des tableaux et relevant d’inscriptions mal saisies</w:t>
      </w:r>
      <w:r w:rsidRPr="0005094C">
        <w:rPr>
          <w:rFonts w:ascii="Helvetica" w:hAnsi="Helvetica" w:cs="Helvetica"/>
          <w:color w:val="FFFFFF" w:themeColor="background1"/>
          <w:sz w:val="20"/>
          <w:szCs w:val="20"/>
        </w:rPr>
        <w:t xml:space="preserve"> </w:t>
      </w:r>
      <w:r w:rsidRPr="0005094C">
        <w:rPr>
          <w:rFonts w:ascii="Helvetica" w:hAnsi="Helvetica" w:cs="Helvetica"/>
          <w:sz w:val="20"/>
          <w:szCs w:val="20"/>
        </w:rPr>
        <w:t>seront supportées par les joueurs en cause.</w:t>
      </w: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Les volants sont à la charge des joueurs à part égale pour chaque match sauf pour les finales. En cas de litige, le volant officiel – YONEX AEROSENSA 30 – sera en vente dans les salles et sera fourni gratuitement pour les finales.</w:t>
      </w: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Le temps minimum de récupération entre les matches est de 20 minutes.</w:t>
      </w: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Le temps de prise de contact avec le terrain est de 3 minutes dès l’appel du match. Ce temps est décompté du temps de récupération.</w:t>
      </w:r>
    </w:p>
    <w:p w:rsidR="001E67DA"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Tout volant touchant au plafond, à la structure de celui-ci ou à l’éclairage au-dessus du terrain est considéré comme let au service au maximum deux fois de suite puis faute, et faute en jeu.</w:t>
      </w: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En dehors des demi-finales et finales, les matches sont majoritairement auto-arbitrés (sauf décision contraire du juge-arbitre). Cependant tout joueur pourra faire appel à l’un des Juges arbitres pour demander un arbitre. Le Juge-arbitre accédera à cette demande seulement s’il le juge nécessaire et si un arbitre est disponible.</w:t>
      </w: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Tout joueur devra se présenter à la table de marque dès son arrivée dans la salle et ce pour chaque jour de la compétition.</w:t>
      </w: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Tout joueur doit se présenter sur le terrain avec tous les accessoires nécessaires à son match et un nombre suffisant de volants (sauf pour la finale). Un joueur n’est pas autorisé à quitter le terrain en dehors des arrêts prévus par les règles.</w:t>
      </w:r>
    </w:p>
    <w:p w:rsidR="001E67DA" w:rsidRPr="00A33004"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Seuls auront accès au plateau de jeu les joueurs disputant un match ou appelés pour un match. Le « coaching permanent » est interdit en dehors des arrêts prévus par les règles. Auront également accès au plateau de jeu, les organisateurs et les Officiels Techniques (corps arbitral). Le service médical pourra être autorisé à accéder aux terrains par les juges arbitres et eux seuls.</w:t>
      </w:r>
    </w:p>
    <w:p w:rsidR="001E67DA" w:rsidRDefault="001E67DA"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sidRPr="00A33004">
        <w:rPr>
          <w:rFonts w:ascii="Helvetica" w:hAnsi="Helvetica" w:cs="Helvetica"/>
          <w:sz w:val="20"/>
          <w:szCs w:val="20"/>
        </w:rPr>
        <w:t>Le comité d’organisation décline toute responsabilité en cas de vol ou perte durant la Compétition</w:t>
      </w:r>
      <w:r w:rsidR="0039121E">
        <w:rPr>
          <w:rFonts w:ascii="Helvetica" w:hAnsi="Helvetica" w:cs="Helvetica"/>
          <w:sz w:val="20"/>
          <w:szCs w:val="20"/>
        </w:rPr>
        <w:t>.</w:t>
      </w:r>
    </w:p>
    <w:p w:rsidR="0039121E" w:rsidRPr="00A33004" w:rsidRDefault="0039121E" w:rsidP="00A33004">
      <w:pPr>
        <w:pStyle w:val="Paragraphedeliste"/>
        <w:numPr>
          <w:ilvl w:val="0"/>
          <w:numId w:val="2"/>
        </w:numPr>
        <w:autoSpaceDE w:val="0"/>
        <w:autoSpaceDN w:val="0"/>
        <w:adjustRightInd w:val="0"/>
        <w:spacing w:after="120" w:line="240" w:lineRule="auto"/>
        <w:ind w:left="714" w:hanging="357"/>
        <w:contextualSpacing w:val="0"/>
        <w:jc w:val="both"/>
        <w:rPr>
          <w:rFonts w:ascii="Helvetica" w:hAnsi="Helvetica" w:cs="Helvetica"/>
          <w:sz w:val="20"/>
          <w:szCs w:val="20"/>
        </w:rPr>
      </w:pPr>
      <w:r>
        <w:rPr>
          <w:rFonts w:ascii="Helvetica" w:hAnsi="Helvetica" w:cs="Helvetica"/>
          <w:sz w:val="20"/>
          <w:szCs w:val="20"/>
        </w:rPr>
        <w:t>Tout joueur participant au tournoi devra appliquer les règles sanitaires</w:t>
      </w:r>
      <w:r w:rsidR="008510F6">
        <w:rPr>
          <w:rFonts w:ascii="Helvetica" w:hAnsi="Helvetica" w:cs="Helvetica"/>
          <w:sz w:val="20"/>
          <w:szCs w:val="20"/>
        </w:rPr>
        <w:t xml:space="preserve"> liées à la pandémie de </w:t>
      </w:r>
      <w:proofErr w:type="spellStart"/>
      <w:r w:rsidR="008510F6">
        <w:rPr>
          <w:rFonts w:ascii="Helvetica" w:hAnsi="Helvetica" w:cs="Helvetica"/>
          <w:sz w:val="20"/>
          <w:szCs w:val="20"/>
        </w:rPr>
        <w:t>Covid</w:t>
      </w:r>
      <w:proofErr w:type="spellEnd"/>
      <w:r w:rsidR="008510F6">
        <w:rPr>
          <w:rFonts w:ascii="Helvetica" w:hAnsi="Helvetica" w:cs="Helvetica"/>
          <w:sz w:val="20"/>
          <w:szCs w:val="20"/>
        </w:rPr>
        <w:t xml:space="preserve"> 19</w:t>
      </w:r>
      <w:r>
        <w:rPr>
          <w:rFonts w:ascii="Helvetica" w:hAnsi="Helvetica" w:cs="Helvetica"/>
          <w:sz w:val="20"/>
          <w:szCs w:val="20"/>
        </w:rPr>
        <w:t xml:space="preserve"> en vigueur </w:t>
      </w:r>
      <w:r w:rsidR="008510F6">
        <w:rPr>
          <w:rFonts w:ascii="Helvetica" w:hAnsi="Helvetica" w:cs="Helvetica"/>
          <w:sz w:val="20"/>
          <w:szCs w:val="20"/>
        </w:rPr>
        <w:t>le jour du tournoi, passe sanitaire, masque, distanciation, … Ces règles seront confirmées</w:t>
      </w:r>
      <w:bookmarkStart w:id="0" w:name="_GoBack"/>
      <w:bookmarkEnd w:id="0"/>
      <w:r w:rsidR="008510F6">
        <w:rPr>
          <w:rFonts w:ascii="Helvetica" w:hAnsi="Helvetica" w:cs="Helvetica"/>
          <w:sz w:val="20"/>
          <w:szCs w:val="20"/>
        </w:rPr>
        <w:t xml:space="preserve"> avec l’envoi des convocations.</w:t>
      </w:r>
    </w:p>
    <w:p w:rsidR="001E67DA" w:rsidRDefault="008510F6" w:rsidP="001E67DA">
      <w:pPr>
        <w:autoSpaceDE w:val="0"/>
        <w:autoSpaceDN w:val="0"/>
        <w:adjustRightInd w:val="0"/>
        <w:spacing w:after="0" w:line="240" w:lineRule="auto"/>
      </w:pPr>
      <w:r>
        <w:rPr>
          <w:rFonts w:ascii="Helvetica-Bold" w:hAnsi="Helvetica-Bold" w:cs="Helvetica-Bold"/>
          <w:b/>
          <w:bCs/>
          <w:sz w:val="20"/>
          <w:szCs w:val="20"/>
        </w:rPr>
        <w:t>La</w:t>
      </w:r>
      <w:r w:rsidR="001E67DA">
        <w:rPr>
          <w:rFonts w:ascii="Helvetica-Bold" w:hAnsi="Helvetica-Bold" w:cs="Helvetica-Bold"/>
          <w:b/>
          <w:bCs/>
          <w:sz w:val="20"/>
          <w:szCs w:val="20"/>
        </w:rPr>
        <w:t xml:space="preserve"> participation au tournoi implique l’adhésion au RGC et au présent Règlement.</w:t>
      </w:r>
    </w:p>
    <w:sectPr w:rsidR="001E67D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9C" w:rsidRDefault="00B9059C" w:rsidP="00C26D14">
      <w:pPr>
        <w:spacing w:after="0" w:line="240" w:lineRule="auto"/>
      </w:pPr>
      <w:r>
        <w:separator/>
      </w:r>
    </w:p>
  </w:endnote>
  <w:endnote w:type="continuationSeparator" w:id="0">
    <w:p w:rsidR="00B9059C" w:rsidRDefault="00B9059C" w:rsidP="00C2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A4" w:rsidRPr="003703A4" w:rsidRDefault="003703A4" w:rsidP="003703A4">
    <w:pPr>
      <w:pStyle w:val="Pieddepage"/>
      <w:jc w:val="center"/>
      <w:rPr>
        <w:rFonts w:ascii="Arial" w:hAnsi="Arial" w:cs="Arial"/>
        <w:sz w:val="20"/>
        <w:szCs w:val="20"/>
      </w:rPr>
    </w:pPr>
    <w:r w:rsidRPr="003703A4">
      <w:rPr>
        <w:rFonts w:ascii="Arial" w:hAnsi="Arial" w:cs="Arial"/>
        <w:sz w:val="20"/>
        <w:szCs w:val="20"/>
      </w:rPr>
      <w:t>Thomas BRUNNER -</w:t>
    </w:r>
    <w:r w:rsidRPr="003703A4">
      <w:rPr>
        <w:rStyle w:val="Lienhypertexte"/>
        <w:sz w:val="20"/>
        <w:szCs w:val="20"/>
      </w:rPr>
      <w:t xml:space="preserve"> </w:t>
    </w:r>
    <w:hyperlink r:id="rId1" w:history="1">
      <w:r w:rsidRPr="003703A4">
        <w:rPr>
          <w:rStyle w:val="Lienhypertexte"/>
          <w:rFonts w:ascii="Arial" w:hAnsi="Arial"/>
          <w:sz w:val="20"/>
          <w:szCs w:val="20"/>
        </w:rPr>
        <w:t>th.brunner97@gmail.com</w:t>
      </w:r>
    </w:hyperlink>
    <w:r w:rsidRPr="003703A4">
      <w:rPr>
        <w:sz w:val="20"/>
        <w:szCs w:val="20"/>
      </w:rPr>
      <w:t xml:space="preserve"> </w:t>
    </w:r>
    <w:r w:rsidRPr="003703A4">
      <w:rPr>
        <w:rStyle w:val="Lienhypertexte"/>
        <w:rFonts w:ascii="Arial" w:hAnsi="Arial" w:cs="Arial"/>
        <w:color w:val="000000"/>
        <w:sz w:val="20"/>
        <w:szCs w:val="20"/>
      </w:rPr>
      <w:t>– 06 25 56 63 33</w:t>
    </w:r>
  </w:p>
  <w:p w:rsidR="003703A4" w:rsidRPr="003703A4" w:rsidRDefault="003703A4" w:rsidP="003703A4">
    <w:pPr>
      <w:pStyle w:val="Pieddepage"/>
      <w:jc w:val="center"/>
      <w:rPr>
        <w:rFonts w:ascii="Arial" w:hAnsi="Arial" w:cs="Arial"/>
        <w:sz w:val="20"/>
        <w:szCs w:val="20"/>
      </w:rPr>
    </w:pPr>
    <w:r w:rsidRPr="003703A4">
      <w:rPr>
        <w:rFonts w:ascii="Arial" w:hAnsi="Arial" w:cs="Arial"/>
        <w:sz w:val="20"/>
        <w:szCs w:val="20"/>
      </w:rPr>
      <w:t xml:space="preserve">Thibaut MENSION – </w:t>
    </w:r>
    <w:hyperlink r:id="rId2" w:history="1">
      <w:r w:rsidRPr="003703A4">
        <w:rPr>
          <w:rStyle w:val="Lienhypertexte"/>
          <w:rFonts w:ascii="Arial" w:hAnsi="Arial" w:cs="Arial"/>
          <w:sz w:val="20"/>
          <w:szCs w:val="20"/>
        </w:rPr>
        <w:t>tmension@yahoo.fr</w:t>
      </w:r>
    </w:hyperlink>
    <w:r w:rsidRPr="003703A4">
      <w:rPr>
        <w:rFonts w:ascii="Arial" w:hAnsi="Arial" w:cs="Arial"/>
        <w:sz w:val="20"/>
        <w:szCs w:val="20"/>
      </w:rPr>
      <w:t xml:space="preserve"> </w:t>
    </w:r>
    <w:r w:rsidRPr="003703A4">
      <w:rPr>
        <w:rStyle w:val="Lienhypertexte"/>
        <w:rFonts w:ascii="Arial" w:hAnsi="Arial" w:cs="Arial"/>
        <w:color w:val="000000"/>
        <w:sz w:val="20"/>
        <w:szCs w:val="20"/>
      </w:rPr>
      <w:t>–</w:t>
    </w:r>
    <w:r w:rsidRPr="003703A4">
      <w:rPr>
        <w:rFonts w:ascii="Arial" w:hAnsi="Arial" w:cs="Arial"/>
        <w:sz w:val="20"/>
        <w:szCs w:val="20"/>
      </w:rPr>
      <w:t xml:space="preserve"> 06 87 42 33 81</w:t>
    </w:r>
  </w:p>
  <w:p w:rsidR="00A33004" w:rsidRPr="00A33004" w:rsidRDefault="00A33004" w:rsidP="00A33004">
    <w:pPr>
      <w:autoSpaceDE w:val="0"/>
      <w:autoSpaceDN w:val="0"/>
      <w:adjustRightInd w:val="0"/>
      <w:spacing w:after="0" w:line="240" w:lineRule="auto"/>
      <w:jc w:val="center"/>
      <w:rPr>
        <w:rFonts w:ascii="Helvetica-Bold" w:hAnsi="Helvetica-Bold" w:cs="Helvetica-Bold"/>
        <w:b/>
        <w:bCs/>
        <w:color w:val="000000"/>
        <w:sz w:val="20"/>
        <w:szCs w:val="20"/>
      </w:rPr>
    </w:pPr>
    <w:r>
      <w:rPr>
        <w:rFonts w:ascii="Helvetica" w:hAnsi="Helvetica" w:cs="Helvetica"/>
        <w:color w:val="0000FF"/>
        <w:sz w:val="20"/>
        <w:szCs w:val="20"/>
      </w:rPr>
      <w:t xml:space="preserve">www.badminton-strasbourg-robertsau.fr </w:t>
    </w:r>
    <w:r>
      <w:rPr>
        <w:rFonts w:ascii="Helvetica-Bold" w:hAnsi="Helvetica-Bold" w:cs="Helvetica-Bold"/>
        <w:b/>
        <w:bCs/>
        <w:color w:val="000000"/>
        <w:sz w:val="20"/>
        <w:szCs w:val="20"/>
      </w:rPr>
      <w:t>- www.facebook.com/aslrobertsau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9C" w:rsidRDefault="00B9059C" w:rsidP="00C26D14">
      <w:pPr>
        <w:spacing w:after="0" w:line="240" w:lineRule="auto"/>
      </w:pPr>
      <w:r>
        <w:separator/>
      </w:r>
    </w:p>
  </w:footnote>
  <w:footnote w:type="continuationSeparator" w:id="0">
    <w:p w:rsidR="00B9059C" w:rsidRDefault="00B9059C" w:rsidP="00C2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14" w:rsidRDefault="00AD6956" w:rsidP="00A33004">
    <w:pPr>
      <w:pStyle w:val="En-tte"/>
      <w:jc w:val="right"/>
    </w:pPr>
    <w:r>
      <w:rPr>
        <w:noProof/>
        <w:lang w:eastAsia="fr-FR"/>
      </w:rPr>
      <w:drawing>
        <wp:anchor distT="0" distB="0" distL="114300" distR="114300" simplePos="0" relativeHeight="251658240" behindDoc="0" locked="0" layoutInCell="1" allowOverlap="1" wp14:anchorId="7362D689" wp14:editId="31CD363D">
          <wp:simplePos x="0" y="0"/>
          <wp:positionH relativeFrom="column">
            <wp:posOffset>-509270</wp:posOffset>
          </wp:positionH>
          <wp:positionV relativeFrom="paragraph">
            <wp:posOffset>-297180</wp:posOffset>
          </wp:positionV>
          <wp:extent cx="657225" cy="657225"/>
          <wp:effectExtent l="0" t="0" r="9525" b="9525"/>
          <wp:wrapNone/>
          <wp:docPr id="2" name="Image 2"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D14">
      <w:rPr>
        <w:rFonts w:ascii="Helvetica" w:hAnsi="Helvetica" w:cs="Helvetica"/>
        <w:color w:val="000000"/>
        <w:sz w:val="20"/>
        <w:szCs w:val="20"/>
      </w:rPr>
      <w:t>A.S.L. ROBERTSAU section BADMINTON - 212 route de la Wantzenau – 67000 STRASBOURG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21597"/>
    <w:multiLevelType w:val="hybridMultilevel"/>
    <w:tmpl w:val="DAFEF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CDE1342"/>
    <w:multiLevelType w:val="hybridMultilevel"/>
    <w:tmpl w:val="22E4E1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DA"/>
    <w:rsid w:val="0005094C"/>
    <w:rsid w:val="001A25A0"/>
    <w:rsid w:val="001B3EC7"/>
    <w:rsid w:val="001D4922"/>
    <w:rsid w:val="001E67DA"/>
    <w:rsid w:val="00283AB6"/>
    <w:rsid w:val="003703A4"/>
    <w:rsid w:val="0039121E"/>
    <w:rsid w:val="00493FE9"/>
    <w:rsid w:val="00530542"/>
    <w:rsid w:val="00535A74"/>
    <w:rsid w:val="00541AB0"/>
    <w:rsid w:val="0062067C"/>
    <w:rsid w:val="006D6045"/>
    <w:rsid w:val="00831E02"/>
    <w:rsid w:val="0084386E"/>
    <w:rsid w:val="008510F6"/>
    <w:rsid w:val="0086306F"/>
    <w:rsid w:val="008E15B4"/>
    <w:rsid w:val="00947AA2"/>
    <w:rsid w:val="00977260"/>
    <w:rsid w:val="00A33004"/>
    <w:rsid w:val="00AA54EC"/>
    <w:rsid w:val="00AD6956"/>
    <w:rsid w:val="00AF0DBF"/>
    <w:rsid w:val="00B53453"/>
    <w:rsid w:val="00B65EF5"/>
    <w:rsid w:val="00B9059C"/>
    <w:rsid w:val="00C26D14"/>
    <w:rsid w:val="00C41009"/>
    <w:rsid w:val="00D41F01"/>
    <w:rsid w:val="00DD76EC"/>
    <w:rsid w:val="00E3550E"/>
    <w:rsid w:val="00E60149"/>
    <w:rsid w:val="00E82E20"/>
    <w:rsid w:val="00E91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FAE4"/>
  <w15:docId w15:val="{96FAD74E-2FFF-4D65-8AFE-F5FE0F3C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6D14"/>
    <w:pPr>
      <w:tabs>
        <w:tab w:val="center" w:pos="4536"/>
        <w:tab w:val="right" w:pos="9072"/>
      </w:tabs>
      <w:spacing w:after="0" w:line="240" w:lineRule="auto"/>
    </w:pPr>
  </w:style>
  <w:style w:type="character" w:customStyle="1" w:styleId="En-tteCar">
    <w:name w:val="En-tête Car"/>
    <w:basedOn w:val="Policepardfaut"/>
    <w:link w:val="En-tte"/>
    <w:uiPriority w:val="99"/>
    <w:rsid w:val="00C26D14"/>
  </w:style>
  <w:style w:type="paragraph" w:styleId="Pieddepage">
    <w:name w:val="footer"/>
    <w:basedOn w:val="Normal"/>
    <w:link w:val="PieddepageCar"/>
    <w:unhideWhenUsed/>
    <w:rsid w:val="00C26D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D14"/>
  </w:style>
  <w:style w:type="paragraph" w:styleId="Textedebulles">
    <w:name w:val="Balloon Text"/>
    <w:basedOn w:val="Normal"/>
    <w:link w:val="TextedebullesCar"/>
    <w:uiPriority w:val="99"/>
    <w:semiHidden/>
    <w:unhideWhenUsed/>
    <w:rsid w:val="00C26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D14"/>
    <w:rPr>
      <w:rFonts w:ascii="Tahoma" w:hAnsi="Tahoma" w:cs="Tahoma"/>
      <w:sz w:val="16"/>
      <w:szCs w:val="16"/>
    </w:rPr>
  </w:style>
  <w:style w:type="paragraph" w:styleId="Paragraphedeliste">
    <w:name w:val="List Paragraph"/>
    <w:basedOn w:val="Normal"/>
    <w:uiPriority w:val="34"/>
    <w:qFormat/>
    <w:rsid w:val="00A33004"/>
    <w:pPr>
      <w:ind w:left="720"/>
      <w:contextualSpacing/>
    </w:pPr>
  </w:style>
  <w:style w:type="table" w:styleId="Grilledutableau">
    <w:name w:val="Table Grid"/>
    <w:basedOn w:val="TableauNormal"/>
    <w:uiPriority w:val="59"/>
    <w:rsid w:val="00A33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D4922"/>
    <w:rPr>
      <w:color w:val="0000FF" w:themeColor="hyperlink"/>
      <w:u w:val="single"/>
    </w:rPr>
  </w:style>
  <w:style w:type="character" w:styleId="Lienhypertextesuivivisit">
    <w:name w:val="FollowedHyperlink"/>
    <w:basedOn w:val="Policepardfaut"/>
    <w:uiPriority w:val="99"/>
    <w:semiHidden/>
    <w:unhideWhenUsed/>
    <w:rsid w:val="001D4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sabigno@badmintongrandest.com" TargetMode="External"/><Relationship Id="rId3" Type="http://schemas.openxmlformats.org/officeDocument/2006/relationships/settings" Target="settings.xml"/><Relationship Id="rId7" Type="http://schemas.openxmlformats.org/officeDocument/2006/relationships/hyperlink" Target="https://docs.google.com/forms/d/e/1FAIpQLScRnPZGwbXwnnfe1BHn3z91PDgUC-PF-8CIpje7vARXyRCzug/viewform?vc=0&amp;c=0&amp;w=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mension@yahoo.fr" TargetMode="External"/><Relationship Id="rId1" Type="http://schemas.openxmlformats.org/officeDocument/2006/relationships/hyperlink" Target="mailto:th.brunner97@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955</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c:creator>
  <cp:lastModifiedBy>MENSION Thibaut</cp:lastModifiedBy>
  <cp:revision>10</cp:revision>
  <dcterms:created xsi:type="dcterms:W3CDTF">2018-10-26T04:33:00Z</dcterms:created>
  <dcterms:modified xsi:type="dcterms:W3CDTF">2021-11-06T13:14:00Z</dcterms:modified>
</cp:coreProperties>
</file>